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4933B" w14:textId="267CB825" w:rsidR="00225932" w:rsidRDefault="00D871CD" w:rsidP="00D871CD">
      <w:pPr>
        <w:jc w:val="center"/>
        <w:rPr>
          <w:b/>
          <w:bCs/>
          <w:sz w:val="28"/>
          <w:szCs w:val="28"/>
          <w:u w:val="single"/>
        </w:rPr>
      </w:pPr>
      <w:r>
        <w:rPr>
          <w:b/>
          <w:bCs/>
          <w:sz w:val="28"/>
          <w:szCs w:val="28"/>
          <w:u w:val="single"/>
        </w:rPr>
        <w:t>2025 Petersburg Colt Show August 9</w:t>
      </w:r>
      <w:r w:rsidRPr="00D871CD">
        <w:rPr>
          <w:b/>
          <w:bCs/>
          <w:sz w:val="28"/>
          <w:szCs w:val="28"/>
          <w:u w:val="single"/>
          <w:vertAlign w:val="superscript"/>
        </w:rPr>
        <w:t>th</w:t>
      </w:r>
      <w:r>
        <w:rPr>
          <w:b/>
          <w:bCs/>
          <w:sz w:val="28"/>
          <w:szCs w:val="28"/>
          <w:u w:val="single"/>
        </w:rPr>
        <w:t>, 2025</w:t>
      </w:r>
    </w:p>
    <w:p w14:paraId="0818C4B5" w14:textId="19410D94" w:rsidR="00D871CD" w:rsidRPr="00D871CD" w:rsidRDefault="00FA25BA" w:rsidP="00D871CD">
      <w:pPr>
        <w:rPr>
          <w:sz w:val="28"/>
          <w:szCs w:val="28"/>
        </w:rPr>
      </w:pPr>
      <w:r>
        <w:rPr>
          <w:noProof/>
          <w:sz w:val="28"/>
          <w:szCs w:val="28"/>
        </w:rPr>
        <w:drawing>
          <wp:anchor distT="0" distB="0" distL="114300" distR="114300" simplePos="0" relativeHeight="251659264" behindDoc="1" locked="0" layoutInCell="1" allowOverlap="1" wp14:anchorId="3BB941BE" wp14:editId="6FB2A208">
            <wp:simplePos x="0" y="0"/>
            <wp:positionH relativeFrom="margin">
              <wp:align>right</wp:align>
            </wp:positionH>
            <wp:positionV relativeFrom="paragraph">
              <wp:posOffset>13970</wp:posOffset>
            </wp:positionV>
            <wp:extent cx="2214880" cy="2912879"/>
            <wp:effectExtent l="0" t="0" r="0" b="1905"/>
            <wp:wrapNone/>
            <wp:docPr id="902079622" name="Picture 3" descr="A horse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79622" name="Picture 3" descr="A horse with a black border&#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2214880" cy="2912879"/>
                    </a:xfrm>
                    <a:prstGeom prst="rect">
                      <a:avLst/>
                    </a:prstGeom>
                  </pic:spPr>
                </pic:pic>
              </a:graphicData>
            </a:graphic>
            <wp14:sizeRelH relativeFrom="margin">
              <wp14:pctWidth>0</wp14:pctWidth>
            </wp14:sizeRelH>
            <wp14:sizeRelV relativeFrom="margin">
              <wp14:pctHeight>0</wp14:pctHeight>
            </wp14:sizeRelV>
          </wp:anchor>
        </w:drawing>
      </w:r>
      <w:r w:rsidR="00D871CD">
        <w:rPr>
          <w:sz w:val="28"/>
          <w:szCs w:val="28"/>
        </w:rPr>
        <w:t xml:space="preserve">1 - </w:t>
      </w:r>
      <w:r w:rsidR="00D871CD" w:rsidRPr="00D871CD">
        <w:rPr>
          <w:sz w:val="28"/>
          <w:szCs w:val="28"/>
        </w:rPr>
        <w:t>Walking</w:t>
      </w:r>
      <w:r w:rsidR="00D871CD" w:rsidRPr="00D871CD">
        <w:rPr>
          <w:sz w:val="28"/>
          <w:szCs w:val="28"/>
        </w:rPr>
        <w:t xml:space="preserve"> &amp; spo</w:t>
      </w:r>
      <w:r w:rsidR="00D871CD">
        <w:rPr>
          <w:rFonts w:ascii="Calibri" w:hAnsi="Calibri" w:cs="Calibri"/>
          <w:sz w:val="28"/>
          <w:szCs w:val="28"/>
        </w:rPr>
        <w:t>tt</w:t>
      </w:r>
      <w:r w:rsidR="00D871CD" w:rsidRPr="00D871CD">
        <w:rPr>
          <w:sz w:val="28"/>
          <w:szCs w:val="28"/>
        </w:rPr>
        <w:t>ed weanling fillies.</w:t>
      </w:r>
    </w:p>
    <w:p w14:paraId="393F0608" w14:textId="4FFFCDDD" w:rsidR="00D871CD" w:rsidRPr="00D871CD" w:rsidRDefault="00D871CD" w:rsidP="00D871CD">
      <w:pPr>
        <w:rPr>
          <w:sz w:val="28"/>
          <w:szCs w:val="28"/>
        </w:rPr>
      </w:pPr>
      <w:r w:rsidRPr="00D871CD">
        <w:rPr>
          <w:sz w:val="28"/>
          <w:szCs w:val="28"/>
        </w:rPr>
        <w:t>2 - Walking &amp; spo</w:t>
      </w:r>
      <w:r>
        <w:rPr>
          <w:rFonts w:ascii="Calibri" w:hAnsi="Calibri" w:cs="Calibri"/>
          <w:sz w:val="28"/>
          <w:szCs w:val="28"/>
        </w:rPr>
        <w:t>tt</w:t>
      </w:r>
      <w:r w:rsidRPr="00D871CD">
        <w:rPr>
          <w:sz w:val="28"/>
          <w:szCs w:val="28"/>
        </w:rPr>
        <w:t>ed yearling fillies.</w:t>
      </w:r>
    </w:p>
    <w:p w14:paraId="41D7362D" w14:textId="06C045C3" w:rsidR="00D871CD" w:rsidRPr="00D871CD" w:rsidRDefault="00D871CD" w:rsidP="00D871CD">
      <w:pPr>
        <w:rPr>
          <w:sz w:val="28"/>
          <w:szCs w:val="28"/>
        </w:rPr>
      </w:pPr>
      <w:r w:rsidRPr="00D871CD">
        <w:rPr>
          <w:sz w:val="28"/>
          <w:szCs w:val="28"/>
        </w:rPr>
        <w:t>3 - Model mare &amp; gelding open.</w:t>
      </w:r>
    </w:p>
    <w:p w14:paraId="78462AF2" w14:textId="0A3BA50F" w:rsidR="00D871CD" w:rsidRPr="00D871CD" w:rsidRDefault="00D871CD" w:rsidP="00D871CD">
      <w:pPr>
        <w:rPr>
          <w:sz w:val="28"/>
          <w:szCs w:val="28"/>
        </w:rPr>
      </w:pPr>
      <w:r w:rsidRPr="00D871CD">
        <w:rPr>
          <w:sz w:val="28"/>
          <w:szCs w:val="28"/>
        </w:rPr>
        <w:t>4 - Walking &amp; spo</w:t>
      </w:r>
      <w:r>
        <w:rPr>
          <w:rFonts w:ascii="Calibri" w:hAnsi="Calibri" w:cs="Calibri"/>
          <w:sz w:val="28"/>
          <w:szCs w:val="28"/>
        </w:rPr>
        <w:t>tt</w:t>
      </w:r>
      <w:r w:rsidRPr="00D871CD">
        <w:rPr>
          <w:sz w:val="28"/>
          <w:szCs w:val="28"/>
        </w:rPr>
        <w:t>ed weanling with youth exhibitors.</w:t>
      </w:r>
    </w:p>
    <w:p w14:paraId="36EA7482" w14:textId="3DEC4C9D" w:rsidR="00D871CD" w:rsidRPr="00D871CD" w:rsidRDefault="00D871CD" w:rsidP="00D871CD">
      <w:pPr>
        <w:rPr>
          <w:sz w:val="28"/>
          <w:szCs w:val="28"/>
        </w:rPr>
      </w:pPr>
      <w:r w:rsidRPr="00D871CD">
        <w:rPr>
          <w:sz w:val="28"/>
          <w:szCs w:val="28"/>
        </w:rPr>
        <w:t>5 - Walking &amp; spo</w:t>
      </w:r>
      <w:r>
        <w:rPr>
          <w:rFonts w:ascii="Calibri" w:hAnsi="Calibri" w:cs="Calibri"/>
          <w:sz w:val="28"/>
          <w:szCs w:val="28"/>
        </w:rPr>
        <w:t>tt</w:t>
      </w:r>
      <w:r w:rsidRPr="00D871CD">
        <w:rPr>
          <w:sz w:val="28"/>
          <w:szCs w:val="28"/>
        </w:rPr>
        <w:t>ed yearling colts.</w:t>
      </w:r>
    </w:p>
    <w:p w14:paraId="5B847CF6" w14:textId="77777777" w:rsidR="00D871CD" w:rsidRPr="00D871CD" w:rsidRDefault="00D871CD" w:rsidP="00D871CD">
      <w:pPr>
        <w:rPr>
          <w:sz w:val="28"/>
          <w:szCs w:val="28"/>
        </w:rPr>
      </w:pPr>
      <w:r w:rsidRPr="00D871CD">
        <w:rPr>
          <w:sz w:val="28"/>
          <w:szCs w:val="28"/>
        </w:rPr>
        <w:t>6 - Model stallion open.</w:t>
      </w:r>
    </w:p>
    <w:p w14:paraId="04BACC20" w14:textId="6BC79BA7" w:rsidR="00D871CD" w:rsidRPr="00D871CD" w:rsidRDefault="00D871CD" w:rsidP="00D871CD">
      <w:pPr>
        <w:rPr>
          <w:sz w:val="28"/>
          <w:szCs w:val="28"/>
        </w:rPr>
      </w:pPr>
      <w:r w:rsidRPr="00D871CD">
        <w:rPr>
          <w:sz w:val="28"/>
          <w:szCs w:val="28"/>
        </w:rPr>
        <w:t>7 - Walking &amp; spo</w:t>
      </w:r>
      <w:r>
        <w:rPr>
          <w:rFonts w:ascii="Calibri" w:hAnsi="Calibri" w:cs="Calibri"/>
          <w:sz w:val="28"/>
          <w:szCs w:val="28"/>
        </w:rPr>
        <w:t>tt</w:t>
      </w:r>
      <w:r w:rsidRPr="00D871CD">
        <w:rPr>
          <w:sz w:val="28"/>
          <w:szCs w:val="28"/>
        </w:rPr>
        <w:t>ed yearling with youth exhibitors.</w:t>
      </w:r>
    </w:p>
    <w:p w14:paraId="0D35AA8A" w14:textId="574D40F0" w:rsidR="00D871CD" w:rsidRPr="00D871CD" w:rsidRDefault="00D871CD" w:rsidP="00D871CD">
      <w:pPr>
        <w:rPr>
          <w:sz w:val="28"/>
          <w:szCs w:val="28"/>
        </w:rPr>
      </w:pPr>
      <w:r w:rsidRPr="00D871CD">
        <w:rPr>
          <w:sz w:val="28"/>
          <w:szCs w:val="28"/>
        </w:rPr>
        <w:t>8 - Walking &amp; spo</w:t>
      </w:r>
      <w:r>
        <w:rPr>
          <w:rFonts w:ascii="Calibri" w:hAnsi="Calibri" w:cs="Calibri"/>
          <w:sz w:val="28"/>
          <w:szCs w:val="28"/>
        </w:rPr>
        <w:t>tt</w:t>
      </w:r>
      <w:r w:rsidRPr="00D871CD">
        <w:rPr>
          <w:sz w:val="28"/>
          <w:szCs w:val="28"/>
        </w:rPr>
        <w:t xml:space="preserve">ed </w:t>
      </w:r>
      <w:proofErr w:type="gramStart"/>
      <w:r w:rsidRPr="00D871CD">
        <w:rPr>
          <w:sz w:val="28"/>
          <w:szCs w:val="28"/>
        </w:rPr>
        <w:t>weanling</w:t>
      </w:r>
      <w:proofErr w:type="gramEnd"/>
      <w:r w:rsidRPr="00D871CD">
        <w:rPr>
          <w:sz w:val="28"/>
          <w:szCs w:val="28"/>
        </w:rPr>
        <w:t xml:space="preserve"> colts.</w:t>
      </w:r>
      <w:r w:rsidR="009E052D" w:rsidRPr="009E052D">
        <w:rPr>
          <w:noProof/>
          <w:sz w:val="28"/>
          <w:szCs w:val="28"/>
        </w:rPr>
        <w:t xml:space="preserve"> </w:t>
      </w:r>
    </w:p>
    <w:p w14:paraId="5EDC2B79" w14:textId="6F399BAA" w:rsidR="00D871CD" w:rsidRPr="00D871CD" w:rsidRDefault="00D871CD" w:rsidP="00D871CD">
      <w:pPr>
        <w:rPr>
          <w:sz w:val="28"/>
          <w:szCs w:val="28"/>
        </w:rPr>
      </w:pPr>
      <w:r w:rsidRPr="00D871CD">
        <w:rPr>
          <w:sz w:val="28"/>
          <w:szCs w:val="28"/>
        </w:rPr>
        <w:t>9 - Model mare &amp; gelding with youth &amp; amateur exhibitors.</w:t>
      </w:r>
    </w:p>
    <w:p w14:paraId="3F7CBBC4" w14:textId="1015C854" w:rsidR="00D871CD" w:rsidRPr="00D871CD" w:rsidRDefault="00FA25BA" w:rsidP="00D871CD">
      <w:pPr>
        <w:rPr>
          <w:sz w:val="28"/>
          <w:szCs w:val="28"/>
        </w:rPr>
      </w:pPr>
      <w:r>
        <w:rPr>
          <w:noProof/>
          <w:sz w:val="28"/>
          <w:szCs w:val="28"/>
        </w:rPr>
        <w:drawing>
          <wp:anchor distT="0" distB="0" distL="114300" distR="114300" simplePos="0" relativeHeight="251658240" behindDoc="1" locked="0" layoutInCell="1" allowOverlap="1" wp14:anchorId="28F3FC65" wp14:editId="1F74FDEA">
            <wp:simplePos x="0" y="0"/>
            <wp:positionH relativeFrom="margin">
              <wp:align>right</wp:align>
            </wp:positionH>
            <wp:positionV relativeFrom="paragraph">
              <wp:posOffset>47053</wp:posOffset>
            </wp:positionV>
            <wp:extent cx="2200275" cy="865442"/>
            <wp:effectExtent l="0" t="0" r="0" b="0"/>
            <wp:wrapNone/>
            <wp:docPr id="1304423959" name="Picture 2" descr="A horse head with a circ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23959" name="Picture 2" descr="A horse head with a circle in the middl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200275" cy="865442"/>
                    </a:xfrm>
                    <a:prstGeom prst="rect">
                      <a:avLst/>
                    </a:prstGeom>
                  </pic:spPr>
                </pic:pic>
              </a:graphicData>
            </a:graphic>
            <wp14:sizeRelH relativeFrom="margin">
              <wp14:pctWidth>0</wp14:pctWidth>
            </wp14:sizeRelH>
            <wp14:sizeRelV relativeFrom="margin">
              <wp14:pctHeight>0</wp14:pctHeight>
            </wp14:sizeRelV>
          </wp:anchor>
        </w:drawing>
      </w:r>
      <w:r w:rsidR="00D871CD" w:rsidRPr="00D871CD">
        <w:rPr>
          <w:sz w:val="28"/>
          <w:szCs w:val="28"/>
        </w:rPr>
        <w:t>10 - Walking &amp; spo</w:t>
      </w:r>
      <w:r w:rsidR="00D871CD">
        <w:rPr>
          <w:rFonts w:ascii="Calibri" w:hAnsi="Calibri" w:cs="Calibri"/>
          <w:sz w:val="28"/>
          <w:szCs w:val="28"/>
        </w:rPr>
        <w:t>tt</w:t>
      </w:r>
      <w:r w:rsidR="00D871CD" w:rsidRPr="00D871CD">
        <w:rPr>
          <w:sz w:val="28"/>
          <w:szCs w:val="28"/>
        </w:rPr>
        <w:t>ed yearling championship.</w:t>
      </w:r>
      <w:r w:rsidR="009E052D" w:rsidRPr="009E052D">
        <w:rPr>
          <w:noProof/>
          <w:sz w:val="28"/>
          <w:szCs w:val="28"/>
        </w:rPr>
        <w:t xml:space="preserve"> </w:t>
      </w:r>
    </w:p>
    <w:p w14:paraId="2F3C1CE1" w14:textId="14E68C97" w:rsidR="00D871CD" w:rsidRPr="00D871CD" w:rsidRDefault="00D871CD" w:rsidP="00D871CD">
      <w:pPr>
        <w:rPr>
          <w:sz w:val="28"/>
          <w:szCs w:val="28"/>
        </w:rPr>
      </w:pPr>
      <w:r w:rsidRPr="00D871CD">
        <w:rPr>
          <w:sz w:val="28"/>
          <w:szCs w:val="28"/>
        </w:rPr>
        <w:t>11 - Walking &amp; spo</w:t>
      </w:r>
      <w:r>
        <w:rPr>
          <w:rFonts w:ascii="Calibri" w:hAnsi="Calibri" w:cs="Calibri"/>
          <w:sz w:val="28"/>
          <w:szCs w:val="28"/>
        </w:rPr>
        <w:t>tt</w:t>
      </w:r>
      <w:r w:rsidRPr="00D871CD">
        <w:rPr>
          <w:sz w:val="28"/>
          <w:szCs w:val="28"/>
        </w:rPr>
        <w:t>ed weanling championship.</w:t>
      </w:r>
    </w:p>
    <w:p w14:paraId="6D09BED8" w14:textId="3F2AE94B" w:rsidR="00D871CD" w:rsidRDefault="00D871CD" w:rsidP="00D871CD">
      <w:pPr>
        <w:rPr>
          <w:sz w:val="28"/>
          <w:szCs w:val="28"/>
        </w:rPr>
      </w:pPr>
      <w:r w:rsidRPr="00D871CD">
        <w:rPr>
          <w:sz w:val="28"/>
          <w:szCs w:val="28"/>
        </w:rPr>
        <w:t>12 - Model championship.</w:t>
      </w:r>
    </w:p>
    <w:p w14:paraId="3FD192ED" w14:textId="630C6B5C" w:rsidR="00934113" w:rsidRPr="00934113" w:rsidRDefault="00934113" w:rsidP="00934113">
      <w:pPr>
        <w:rPr>
          <w:sz w:val="28"/>
          <w:szCs w:val="28"/>
        </w:rPr>
      </w:pPr>
      <w:r w:rsidRPr="00934113">
        <w:rPr>
          <w:sz w:val="28"/>
          <w:szCs w:val="28"/>
        </w:rPr>
        <w:t xml:space="preserve">Gates </w:t>
      </w:r>
      <w:proofErr w:type="gramStart"/>
      <w:r w:rsidRPr="00934113">
        <w:rPr>
          <w:sz w:val="28"/>
          <w:szCs w:val="28"/>
        </w:rPr>
        <w:t>open</w:t>
      </w:r>
      <w:proofErr w:type="gramEnd"/>
      <w:r w:rsidRPr="00934113">
        <w:rPr>
          <w:sz w:val="28"/>
          <w:szCs w:val="28"/>
        </w:rPr>
        <w:t xml:space="preserve"> at </w:t>
      </w:r>
      <w:r w:rsidR="00A7347A">
        <w:rPr>
          <w:sz w:val="28"/>
          <w:szCs w:val="28"/>
        </w:rPr>
        <w:t>3:00</w:t>
      </w:r>
      <w:r w:rsidRPr="00934113">
        <w:rPr>
          <w:sz w:val="28"/>
          <w:szCs w:val="28"/>
        </w:rPr>
        <w:t xml:space="preserve"> show to start at </w:t>
      </w:r>
      <w:r w:rsidR="00A7347A">
        <w:rPr>
          <w:sz w:val="28"/>
          <w:szCs w:val="28"/>
        </w:rPr>
        <w:t>5</w:t>
      </w:r>
      <w:r w:rsidRPr="00934113">
        <w:rPr>
          <w:sz w:val="28"/>
          <w:szCs w:val="28"/>
        </w:rPr>
        <w:t xml:space="preserve">:00 </w:t>
      </w:r>
      <w:r w:rsidR="009E052D">
        <w:rPr>
          <w:noProof/>
          <w:sz w:val="28"/>
          <w:szCs w:val="28"/>
        </w:rPr>
        <w:t xml:space="preserve">              </w:t>
      </w:r>
    </w:p>
    <w:p w14:paraId="65FE56B4" w14:textId="2D926C0E" w:rsidR="00934113" w:rsidRPr="00934113" w:rsidRDefault="00934113" w:rsidP="00934113">
      <w:pPr>
        <w:rPr>
          <w:sz w:val="28"/>
          <w:szCs w:val="28"/>
        </w:rPr>
      </w:pPr>
      <w:r w:rsidRPr="00934113">
        <w:rPr>
          <w:sz w:val="28"/>
          <w:szCs w:val="28"/>
        </w:rPr>
        <w:t>Entry fee is $2</w:t>
      </w:r>
      <w:r w:rsidR="00A7347A">
        <w:rPr>
          <w:sz w:val="28"/>
          <w:szCs w:val="28"/>
        </w:rPr>
        <w:t>0</w:t>
      </w:r>
      <w:r w:rsidRPr="00934113">
        <w:rPr>
          <w:sz w:val="28"/>
          <w:szCs w:val="28"/>
        </w:rPr>
        <w:t xml:space="preserve">.00. </w:t>
      </w:r>
    </w:p>
    <w:p w14:paraId="661D3575" w14:textId="27967870" w:rsidR="00934113" w:rsidRPr="00934113" w:rsidRDefault="00934113" w:rsidP="00934113">
      <w:pPr>
        <w:rPr>
          <w:sz w:val="28"/>
          <w:szCs w:val="28"/>
        </w:rPr>
      </w:pPr>
      <w:r w:rsidRPr="00934113">
        <w:rPr>
          <w:sz w:val="28"/>
          <w:szCs w:val="28"/>
        </w:rPr>
        <w:t xml:space="preserve">Perpetual trophies </w:t>
      </w:r>
      <w:r w:rsidR="009E052D" w:rsidRPr="00934113">
        <w:rPr>
          <w:sz w:val="28"/>
          <w:szCs w:val="28"/>
        </w:rPr>
        <w:t>are awarded</w:t>
      </w:r>
      <w:r w:rsidRPr="00934113">
        <w:rPr>
          <w:sz w:val="28"/>
          <w:szCs w:val="28"/>
        </w:rPr>
        <w:t xml:space="preserve"> for all 3 championship classes. </w:t>
      </w:r>
    </w:p>
    <w:p w14:paraId="42573AC4" w14:textId="3AA91CD0" w:rsidR="00934113" w:rsidRPr="00934113" w:rsidRDefault="00934113" w:rsidP="00934113">
      <w:pPr>
        <w:rPr>
          <w:sz w:val="28"/>
          <w:szCs w:val="28"/>
        </w:rPr>
      </w:pPr>
      <w:r w:rsidRPr="00934113">
        <w:rPr>
          <w:sz w:val="28"/>
          <w:szCs w:val="28"/>
        </w:rPr>
        <w:t xml:space="preserve">Youth </w:t>
      </w:r>
      <w:r w:rsidR="009E052D" w:rsidRPr="00934113">
        <w:rPr>
          <w:sz w:val="28"/>
          <w:szCs w:val="28"/>
        </w:rPr>
        <w:t>are</w:t>
      </w:r>
      <w:r w:rsidRPr="00934113">
        <w:rPr>
          <w:sz w:val="28"/>
          <w:szCs w:val="28"/>
        </w:rPr>
        <w:t xml:space="preserve"> considered 17 and under. </w:t>
      </w:r>
    </w:p>
    <w:p w14:paraId="277651B6" w14:textId="4A6A1011" w:rsidR="00934113" w:rsidRPr="00934113" w:rsidRDefault="00934113" w:rsidP="00934113">
      <w:pPr>
        <w:rPr>
          <w:sz w:val="28"/>
          <w:szCs w:val="28"/>
        </w:rPr>
      </w:pPr>
      <w:r w:rsidRPr="00934113">
        <w:rPr>
          <w:sz w:val="28"/>
          <w:szCs w:val="28"/>
        </w:rPr>
        <w:t>Nega</w:t>
      </w:r>
      <w:r>
        <w:rPr>
          <w:rFonts w:ascii="Calibri" w:hAnsi="Calibri" w:cs="Calibri"/>
          <w:sz w:val="28"/>
          <w:szCs w:val="28"/>
        </w:rPr>
        <w:t>ti</w:t>
      </w:r>
      <w:r w:rsidRPr="00934113">
        <w:rPr>
          <w:sz w:val="28"/>
          <w:szCs w:val="28"/>
        </w:rPr>
        <w:t xml:space="preserve">ve </w:t>
      </w:r>
      <w:proofErr w:type="spellStart"/>
      <w:r w:rsidRPr="00934113">
        <w:rPr>
          <w:sz w:val="28"/>
          <w:szCs w:val="28"/>
        </w:rPr>
        <w:t>coggins</w:t>
      </w:r>
      <w:proofErr w:type="spellEnd"/>
      <w:r w:rsidRPr="00934113">
        <w:rPr>
          <w:sz w:val="28"/>
          <w:szCs w:val="28"/>
        </w:rPr>
        <w:t xml:space="preserve"> </w:t>
      </w:r>
      <w:proofErr w:type="gramStart"/>
      <w:r w:rsidRPr="00934113">
        <w:rPr>
          <w:sz w:val="28"/>
          <w:szCs w:val="28"/>
        </w:rPr>
        <w:t>is</w:t>
      </w:r>
      <w:proofErr w:type="gramEnd"/>
      <w:r w:rsidRPr="00934113">
        <w:rPr>
          <w:sz w:val="28"/>
          <w:szCs w:val="28"/>
        </w:rPr>
        <w:t xml:space="preserve"> required.</w:t>
      </w:r>
    </w:p>
    <w:p w14:paraId="01298B29" w14:textId="5E97B73F" w:rsidR="00934113" w:rsidRPr="00934113" w:rsidRDefault="00934113" w:rsidP="00934113">
      <w:pPr>
        <w:rPr>
          <w:sz w:val="28"/>
          <w:szCs w:val="28"/>
        </w:rPr>
      </w:pPr>
      <w:r w:rsidRPr="00934113">
        <w:rPr>
          <w:sz w:val="28"/>
          <w:szCs w:val="28"/>
        </w:rPr>
        <w:t>Spectator admission is free, but dona</w:t>
      </w:r>
      <w:r>
        <w:rPr>
          <w:rFonts w:ascii="Calibri" w:hAnsi="Calibri" w:cs="Calibri"/>
          <w:sz w:val="28"/>
          <w:szCs w:val="28"/>
        </w:rPr>
        <w:t>ti</w:t>
      </w:r>
      <w:r w:rsidRPr="00934113">
        <w:rPr>
          <w:sz w:val="28"/>
          <w:szCs w:val="28"/>
        </w:rPr>
        <w:t>ons will be accepted.</w:t>
      </w:r>
    </w:p>
    <w:p w14:paraId="09B62CDE" w14:textId="6D672A5F" w:rsidR="00934113" w:rsidRPr="009E052D" w:rsidRDefault="00934113" w:rsidP="00934113">
      <w:pPr>
        <w:rPr>
          <w:sz w:val="16"/>
          <w:szCs w:val="16"/>
        </w:rPr>
      </w:pPr>
      <w:proofErr w:type="gramStart"/>
      <w:r w:rsidRPr="009E052D">
        <w:rPr>
          <w:sz w:val="16"/>
          <w:szCs w:val="16"/>
        </w:rPr>
        <w:t>Persons</w:t>
      </w:r>
      <w:proofErr w:type="gramEnd"/>
      <w:r w:rsidRPr="009E052D">
        <w:rPr>
          <w:sz w:val="16"/>
          <w:szCs w:val="16"/>
        </w:rPr>
        <w:t xml:space="preserve"> on federal </w:t>
      </w:r>
      <w:r w:rsidR="009E052D" w:rsidRPr="009E052D">
        <w:rPr>
          <w:sz w:val="16"/>
          <w:szCs w:val="16"/>
        </w:rPr>
        <w:t>disqualifica</w:t>
      </w:r>
      <w:r w:rsidR="009E052D" w:rsidRPr="009E052D">
        <w:rPr>
          <w:rFonts w:ascii="Calibri" w:hAnsi="Calibri" w:cs="Calibri"/>
          <w:sz w:val="16"/>
          <w:szCs w:val="16"/>
        </w:rPr>
        <w:t>t</w:t>
      </w:r>
      <w:r w:rsidR="009E052D" w:rsidRPr="009E052D">
        <w:rPr>
          <w:sz w:val="16"/>
          <w:szCs w:val="16"/>
        </w:rPr>
        <w:t>ion</w:t>
      </w:r>
      <w:r w:rsidRPr="009E052D">
        <w:rPr>
          <w:sz w:val="16"/>
          <w:szCs w:val="16"/>
        </w:rPr>
        <w:t xml:space="preserve"> cannot transport horses to this show and may only </w:t>
      </w:r>
      <w:r w:rsidR="009E052D" w:rsidRPr="009E052D">
        <w:rPr>
          <w:sz w:val="16"/>
          <w:szCs w:val="16"/>
        </w:rPr>
        <w:t>par</w:t>
      </w:r>
      <w:r w:rsidR="009E052D" w:rsidRPr="009E052D">
        <w:rPr>
          <w:rFonts w:ascii="Calibri" w:hAnsi="Calibri" w:cs="Calibri"/>
          <w:sz w:val="16"/>
          <w:szCs w:val="16"/>
        </w:rPr>
        <w:t>t</w:t>
      </w:r>
      <w:r w:rsidR="009E052D" w:rsidRPr="009E052D">
        <w:rPr>
          <w:sz w:val="16"/>
          <w:szCs w:val="16"/>
        </w:rPr>
        <w:t>icipate</w:t>
      </w:r>
      <w:r w:rsidRPr="009E052D">
        <w:rPr>
          <w:sz w:val="16"/>
          <w:szCs w:val="16"/>
        </w:rPr>
        <w:t xml:space="preserve"> as a spectator.</w:t>
      </w:r>
    </w:p>
    <w:p w14:paraId="615B61B8" w14:textId="62D15B59" w:rsidR="009E052D" w:rsidRDefault="00934113" w:rsidP="00934113">
      <w:pPr>
        <w:rPr>
          <w:sz w:val="16"/>
          <w:szCs w:val="16"/>
        </w:rPr>
      </w:pPr>
      <w:r w:rsidRPr="009E052D">
        <w:rPr>
          <w:sz w:val="16"/>
          <w:szCs w:val="16"/>
        </w:rPr>
        <w:t xml:space="preserve">Neither the Lincoln </w:t>
      </w:r>
      <w:r w:rsidR="009E052D" w:rsidRPr="009E052D">
        <w:rPr>
          <w:sz w:val="16"/>
          <w:szCs w:val="16"/>
        </w:rPr>
        <w:t>Farmers’</w:t>
      </w:r>
      <w:r w:rsidRPr="009E052D">
        <w:rPr>
          <w:sz w:val="16"/>
          <w:szCs w:val="16"/>
        </w:rPr>
        <w:t xml:space="preserve"> Coopera</w:t>
      </w:r>
      <w:r w:rsidR="009E052D" w:rsidRPr="009E052D">
        <w:rPr>
          <w:rFonts w:ascii="Calibri" w:hAnsi="Calibri" w:cs="Calibri"/>
          <w:sz w:val="16"/>
          <w:szCs w:val="16"/>
        </w:rPr>
        <w:t>ti</w:t>
      </w:r>
      <w:r w:rsidRPr="009E052D">
        <w:rPr>
          <w:sz w:val="16"/>
          <w:szCs w:val="16"/>
        </w:rPr>
        <w:t>ve, the Petersburg Colt Show, The Petersburg CCC, its organizers, officials, volunteers, contractors, or other employees of the show will be responsible for any ar</w:t>
      </w:r>
      <w:r w:rsidR="009E052D" w:rsidRPr="009E052D">
        <w:rPr>
          <w:rFonts w:ascii="Calibri" w:hAnsi="Calibri" w:cs="Calibri"/>
          <w:sz w:val="16"/>
          <w:szCs w:val="16"/>
        </w:rPr>
        <w:t>ti</w:t>
      </w:r>
      <w:r w:rsidRPr="009E052D">
        <w:rPr>
          <w:sz w:val="16"/>
          <w:szCs w:val="16"/>
        </w:rPr>
        <w:t>cle of any kind or nature that may be lost, destroyed or stolen, nor liable for any injury sustained to horse, exhibitors, spectators or employees of exhibitors. The foregoing shall be included as a condi</w:t>
      </w:r>
      <w:r w:rsidR="009E052D" w:rsidRPr="009E052D">
        <w:rPr>
          <w:rFonts w:ascii="Calibri" w:hAnsi="Calibri" w:cs="Calibri"/>
          <w:sz w:val="16"/>
          <w:szCs w:val="16"/>
        </w:rPr>
        <w:t>ti</w:t>
      </w:r>
      <w:r w:rsidRPr="009E052D">
        <w:rPr>
          <w:sz w:val="16"/>
          <w:szCs w:val="16"/>
        </w:rPr>
        <w:t>on of entry.</w:t>
      </w:r>
    </w:p>
    <w:p w14:paraId="3C570B14" w14:textId="03E427A3" w:rsidR="00934113" w:rsidRPr="009E052D" w:rsidRDefault="00934113" w:rsidP="00934113">
      <w:pPr>
        <w:rPr>
          <w:sz w:val="16"/>
          <w:szCs w:val="16"/>
        </w:rPr>
      </w:pPr>
      <w:r w:rsidRPr="009E052D">
        <w:rPr>
          <w:sz w:val="16"/>
          <w:szCs w:val="16"/>
        </w:rPr>
        <w:t>Under Tennessee Law, an equine professional is not liable for an injury to or the death of a par</w:t>
      </w:r>
      <w:r w:rsidR="009E052D" w:rsidRPr="009E052D">
        <w:rPr>
          <w:rFonts w:ascii="Calibri" w:hAnsi="Calibri" w:cs="Calibri"/>
          <w:sz w:val="16"/>
          <w:szCs w:val="16"/>
        </w:rPr>
        <w:t>ti</w:t>
      </w:r>
      <w:r w:rsidRPr="009E052D">
        <w:rPr>
          <w:sz w:val="16"/>
          <w:szCs w:val="16"/>
        </w:rPr>
        <w:t>cipant in equine ac</w:t>
      </w:r>
      <w:r w:rsidR="009E052D" w:rsidRPr="009E052D">
        <w:rPr>
          <w:rFonts w:ascii="Calibri" w:hAnsi="Calibri" w:cs="Calibri"/>
          <w:sz w:val="16"/>
          <w:szCs w:val="16"/>
        </w:rPr>
        <w:t>ti</w:t>
      </w:r>
      <w:r w:rsidRPr="009E052D">
        <w:rPr>
          <w:sz w:val="16"/>
          <w:szCs w:val="16"/>
        </w:rPr>
        <w:t>vi</w:t>
      </w:r>
      <w:r w:rsidR="009E052D" w:rsidRPr="009E052D">
        <w:rPr>
          <w:rFonts w:ascii="Calibri" w:hAnsi="Calibri" w:cs="Calibri"/>
          <w:sz w:val="16"/>
          <w:szCs w:val="16"/>
        </w:rPr>
        <w:t>ti</w:t>
      </w:r>
      <w:r w:rsidRPr="009E052D">
        <w:rPr>
          <w:sz w:val="16"/>
          <w:szCs w:val="16"/>
        </w:rPr>
        <w:t>es resul</w:t>
      </w:r>
      <w:r w:rsidR="009E052D" w:rsidRPr="009E052D">
        <w:rPr>
          <w:rFonts w:ascii="Calibri" w:hAnsi="Calibri" w:cs="Calibri"/>
          <w:sz w:val="16"/>
          <w:szCs w:val="16"/>
        </w:rPr>
        <w:t>ti</w:t>
      </w:r>
      <w:r w:rsidRPr="009E052D">
        <w:rPr>
          <w:sz w:val="16"/>
          <w:szCs w:val="16"/>
        </w:rPr>
        <w:t xml:space="preserve">ng from the inherent risks of equine </w:t>
      </w:r>
      <w:r w:rsidR="009E052D" w:rsidRPr="009E052D">
        <w:rPr>
          <w:sz w:val="16"/>
          <w:szCs w:val="16"/>
        </w:rPr>
        <w:t>ac</w:t>
      </w:r>
      <w:r w:rsidR="009E052D" w:rsidRPr="009E052D">
        <w:rPr>
          <w:rFonts w:ascii="Calibri" w:hAnsi="Calibri" w:cs="Calibri"/>
          <w:sz w:val="16"/>
          <w:szCs w:val="16"/>
        </w:rPr>
        <w:t>t</w:t>
      </w:r>
      <w:r w:rsidR="009E052D" w:rsidRPr="009E052D">
        <w:rPr>
          <w:sz w:val="16"/>
          <w:szCs w:val="16"/>
        </w:rPr>
        <w:t>iv</w:t>
      </w:r>
      <w:r w:rsidR="009E052D" w:rsidRPr="009E052D">
        <w:rPr>
          <w:rFonts w:ascii="Calibri" w:hAnsi="Calibri" w:cs="Calibri"/>
          <w:sz w:val="16"/>
          <w:szCs w:val="16"/>
        </w:rPr>
        <w:t>i</w:t>
      </w:r>
      <w:r w:rsidR="009E052D" w:rsidRPr="009E052D">
        <w:rPr>
          <w:sz w:val="16"/>
          <w:szCs w:val="16"/>
        </w:rPr>
        <w:t>ties</w:t>
      </w:r>
      <w:r w:rsidRPr="009E052D">
        <w:rPr>
          <w:sz w:val="16"/>
          <w:szCs w:val="16"/>
        </w:rPr>
        <w:t xml:space="preserve">, pursuant to Tennessee Code Annotated, </w:t>
      </w:r>
      <w:r w:rsidR="009E052D" w:rsidRPr="009E052D">
        <w:rPr>
          <w:rFonts w:ascii="Calibri" w:hAnsi="Calibri" w:cs="Calibri"/>
          <w:sz w:val="16"/>
          <w:szCs w:val="16"/>
        </w:rPr>
        <w:t>Ti</w:t>
      </w:r>
      <w:r w:rsidRPr="009E052D">
        <w:rPr>
          <w:sz w:val="16"/>
          <w:szCs w:val="16"/>
        </w:rPr>
        <w:t xml:space="preserve">tle 44, chapter 20. 44-20-103. </w:t>
      </w:r>
      <w:r w:rsidR="009E052D" w:rsidRPr="009E052D">
        <w:rPr>
          <w:sz w:val="16"/>
          <w:szCs w:val="16"/>
        </w:rPr>
        <w:t>Limita</w:t>
      </w:r>
      <w:r w:rsidR="009E052D" w:rsidRPr="009E052D">
        <w:rPr>
          <w:rFonts w:ascii="Calibri" w:hAnsi="Calibri" w:cs="Calibri"/>
          <w:sz w:val="16"/>
          <w:szCs w:val="16"/>
        </w:rPr>
        <w:t>t</w:t>
      </w:r>
      <w:r w:rsidR="009E052D" w:rsidRPr="009E052D">
        <w:rPr>
          <w:sz w:val="16"/>
          <w:szCs w:val="16"/>
        </w:rPr>
        <w:t>ion</w:t>
      </w:r>
      <w:r w:rsidRPr="009E052D">
        <w:rPr>
          <w:sz w:val="16"/>
          <w:szCs w:val="16"/>
        </w:rPr>
        <w:t xml:space="preserve"> on liability for injury or death of </w:t>
      </w:r>
      <w:r w:rsidR="009E052D" w:rsidRPr="009E052D">
        <w:rPr>
          <w:sz w:val="16"/>
          <w:szCs w:val="16"/>
        </w:rPr>
        <w:t>par</w:t>
      </w:r>
      <w:r w:rsidR="009E052D" w:rsidRPr="009E052D">
        <w:rPr>
          <w:rFonts w:ascii="Calibri" w:hAnsi="Calibri" w:cs="Calibri"/>
          <w:sz w:val="16"/>
          <w:szCs w:val="16"/>
        </w:rPr>
        <w:t>t</w:t>
      </w:r>
      <w:r w:rsidR="009E052D" w:rsidRPr="009E052D">
        <w:rPr>
          <w:sz w:val="16"/>
          <w:szCs w:val="16"/>
        </w:rPr>
        <w:t>icipant</w:t>
      </w:r>
      <w:r w:rsidRPr="009E052D">
        <w:rPr>
          <w:sz w:val="16"/>
          <w:szCs w:val="16"/>
        </w:rPr>
        <w:t xml:space="preserve"> Except as provided in §44-20-104, an equine </w:t>
      </w:r>
      <w:r w:rsidR="009E052D" w:rsidRPr="009E052D">
        <w:rPr>
          <w:sz w:val="16"/>
          <w:szCs w:val="16"/>
        </w:rPr>
        <w:t>ac</w:t>
      </w:r>
      <w:r w:rsidR="009E052D" w:rsidRPr="009E052D">
        <w:rPr>
          <w:rFonts w:ascii="Calibri" w:hAnsi="Calibri" w:cs="Calibri"/>
          <w:sz w:val="16"/>
          <w:szCs w:val="16"/>
        </w:rPr>
        <w:t>t</w:t>
      </w:r>
      <w:r w:rsidR="009E052D" w:rsidRPr="009E052D">
        <w:rPr>
          <w:sz w:val="16"/>
          <w:szCs w:val="16"/>
        </w:rPr>
        <w:t>ivity</w:t>
      </w:r>
      <w:r w:rsidRPr="009E052D">
        <w:rPr>
          <w:sz w:val="16"/>
          <w:szCs w:val="16"/>
        </w:rPr>
        <w:t xml:space="preserve"> sponsor, an equine professional, or any other person, which shall include a </w:t>
      </w:r>
      <w:r w:rsidR="009E052D" w:rsidRPr="009E052D">
        <w:rPr>
          <w:sz w:val="16"/>
          <w:szCs w:val="16"/>
        </w:rPr>
        <w:t>corpora</w:t>
      </w:r>
      <w:r w:rsidR="009E052D" w:rsidRPr="009E052D">
        <w:rPr>
          <w:rFonts w:ascii="Calibri" w:hAnsi="Calibri" w:cs="Calibri"/>
          <w:sz w:val="16"/>
          <w:szCs w:val="16"/>
        </w:rPr>
        <w:t>t</w:t>
      </w:r>
      <w:r w:rsidR="009E052D" w:rsidRPr="009E052D">
        <w:rPr>
          <w:sz w:val="16"/>
          <w:szCs w:val="16"/>
        </w:rPr>
        <w:t>ion</w:t>
      </w:r>
      <w:r w:rsidRPr="009E052D">
        <w:rPr>
          <w:sz w:val="16"/>
          <w:szCs w:val="16"/>
        </w:rPr>
        <w:t xml:space="preserve"> or partnership, shall not be liable for an injury to or the death of a </w:t>
      </w:r>
      <w:r w:rsidR="009E052D" w:rsidRPr="009E052D">
        <w:rPr>
          <w:sz w:val="16"/>
          <w:szCs w:val="16"/>
        </w:rPr>
        <w:t>par</w:t>
      </w:r>
      <w:r w:rsidR="009E052D" w:rsidRPr="009E052D">
        <w:rPr>
          <w:rFonts w:ascii="Calibri" w:hAnsi="Calibri" w:cs="Calibri"/>
          <w:sz w:val="16"/>
          <w:szCs w:val="16"/>
        </w:rPr>
        <w:t>t</w:t>
      </w:r>
      <w:r w:rsidR="009E052D" w:rsidRPr="009E052D">
        <w:rPr>
          <w:sz w:val="16"/>
          <w:szCs w:val="16"/>
        </w:rPr>
        <w:t>icipant</w:t>
      </w:r>
      <w:r w:rsidRPr="009E052D">
        <w:rPr>
          <w:sz w:val="16"/>
          <w:szCs w:val="16"/>
        </w:rPr>
        <w:t xml:space="preserve"> </w:t>
      </w:r>
      <w:r w:rsidR="009E052D" w:rsidRPr="009E052D">
        <w:rPr>
          <w:sz w:val="16"/>
          <w:szCs w:val="16"/>
        </w:rPr>
        <w:t>resul</w:t>
      </w:r>
      <w:r w:rsidR="009E052D" w:rsidRPr="009E052D">
        <w:rPr>
          <w:rFonts w:ascii="Calibri" w:hAnsi="Calibri" w:cs="Calibri"/>
          <w:sz w:val="16"/>
          <w:szCs w:val="16"/>
        </w:rPr>
        <w:t>t</w:t>
      </w:r>
      <w:r w:rsidR="009E052D" w:rsidRPr="009E052D">
        <w:rPr>
          <w:sz w:val="16"/>
          <w:szCs w:val="16"/>
        </w:rPr>
        <w:t>ing</w:t>
      </w:r>
      <w:r w:rsidRPr="009E052D">
        <w:rPr>
          <w:sz w:val="16"/>
          <w:szCs w:val="16"/>
        </w:rPr>
        <w:t xml:space="preserve"> from the inherent risks of equine </w:t>
      </w:r>
      <w:r w:rsidR="009E052D" w:rsidRPr="009E052D">
        <w:rPr>
          <w:sz w:val="16"/>
          <w:szCs w:val="16"/>
        </w:rPr>
        <w:t>ac</w:t>
      </w:r>
      <w:r w:rsidR="009E052D" w:rsidRPr="009E052D">
        <w:rPr>
          <w:rFonts w:ascii="Calibri" w:hAnsi="Calibri" w:cs="Calibri"/>
          <w:sz w:val="16"/>
          <w:szCs w:val="16"/>
        </w:rPr>
        <w:t>t</w:t>
      </w:r>
      <w:r w:rsidR="009E052D" w:rsidRPr="009E052D">
        <w:rPr>
          <w:sz w:val="16"/>
          <w:szCs w:val="16"/>
        </w:rPr>
        <w:t>iv</w:t>
      </w:r>
      <w:r w:rsidR="009E052D" w:rsidRPr="009E052D">
        <w:rPr>
          <w:rFonts w:ascii="Calibri" w:hAnsi="Calibri" w:cs="Calibri"/>
          <w:sz w:val="16"/>
          <w:szCs w:val="16"/>
        </w:rPr>
        <w:t>i</w:t>
      </w:r>
      <w:r w:rsidR="009E052D" w:rsidRPr="009E052D">
        <w:rPr>
          <w:sz w:val="16"/>
          <w:szCs w:val="16"/>
        </w:rPr>
        <w:t>ties</w:t>
      </w:r>
      <w:r w:rsidRPr="009E052D">
        <w:rPr>
          <w:sz w:val="16"/>
          <w:szCs w:val="16"/>
        </w:rPr>
        <w:t xml:space="preserve">. Except as provided in </w:t>
      </w:r>
      <w:r w:rsidRPr="009E052D">
        <w:rPr>
          <w:rFonts w:ascii="Aptos" w:hAnsi="Aptos" w:cs="Aptos"/>
          <w:sz w:val="16"/>
          <w:szCs w:val="16"/>
        </w:rPr>
        <w:t>§</w:t>
      </w:r>
      <w:r w:rsidRPr="009E052D">
        <w:rPr>
          <w:sz w:val="16"/>
          <w:szCs w:val="16"/>
        </w:rPr>
        <w:t xml:space="preserve">44-20-104, no </w:t>
      </w:r>
      <w:r w:rsidR="009E052D" w:rsidRPr="009E052D">
        <w:rPr>
          <w:sz w:val="16"/>
          <w:szCs w:val="16"/>
        </w:rPr>
        <w:t>par</w:t>
      </w:r>
      <w:r w:rsidR="009E052D" w:rsidRPr="009E052D">
        <w:rPr>
          <w:rFonts w:ascii="Calibri" w:hAnsi="Calibri" w:cs="Calibri"/>
          <w:sz w:val="16"/>
          <w:szCs w:val="16"/>
        </w:rPr>
        <w:t>t</w:t>
      </w:r>
      <w:r w:rsidR="009E052D" w:rsidRPr="009E052D">
        <w:rPr>
          <w:sz w:val="16"/>
          <w:szCs w:val="16"/>
        </w:rPr>
        <w:t>icipant</w:t>
      </w:r>
      <w:r w:rsidRPr="009E052D">
        <w:rPr>
          <w:sz w:val="16"/>
          <w:szCs w:val="16"/>
        </w:rPr>
        <w:t xml:space="preserve"> or par</w:t>
      </w:r>
      <w:r w:rsidR="009E052D" w:rsidRPr="009E052D">
        <w:rPr>
          <w:rFonts w:ascii="Calibri" w:hAnsi="Calibri" w:cs="Calibri"/>
          <w:sz w:val="16"/>
          <w:szCs w:val="16"/>
        </w:rPr>
        <w:t>ti</w:t>
      </w:r>
      <w:r w:rsidRPr="009E052D">
        <w:rPr>
          <w:sz w:val="16"/>
          <w:szCs w:val="16"/>
        </w:rPr>
        <w:t xml:space="preserve">cipant's </w:t>
      </w:r>
      <w:r w:rsidR="009E052D" w:rsidRPr="009E052D">
        <w:rPr>
          <w:sz w:val="16"/>
          <w:szCs w:val="16"/>
        </w:rPr>
        <w:t>representa</w:t>
      </w:r>
      <w:r w:rsidR="009E052D" w:rsidRPr="009E052D">
        <w:rPr>
          <w:rFonts w:ascii="Calibri" w:hAnsi="Calibri" w:cs="Calibri"/>
          <w:sz w:val="16"/>
          <w:szCs w:val="16"/>
        </w:rPr>
        <w:t>t</w:t>
      </w:r>
      <w:r w:rsidR="009E052D" w:rsidRPr="009E052D">
        <w:rPr>
          <w:sz w:val="16"/>
          <w:szCs w:val="16"/>
        </w:rPr>
        <w:t>ive</w:t>
      </w:r>
      <w:r w:rsidRPr="009E052D">
        <w:rPr>
          <w:sz w:val="16"/>
          <w:szCs w:val="16"/>
        </w:rPr>
        <w:t xml:space="preserve"> shall make any claim against, maintain an ac</w:t>
      </w:r>
      <w:r w:rsidR="009E052D" w:rsidRPr="009E052D">
        <w:rPr>
          <w:rFonts w:ascii="Calibri" w:hAnsi="Calibri" w:cs="Calibri"/>
          <w:sz w:val="16"/>
          <w:szCs w:val="16"/>
        </w:rPr>
        <w:t>ti</w:t>
      </w:r>
      <w:r w:rsidRPr="009E052D">
        <w:rPr>
          <w:sz w:val="16"/>
          <w:szCs w:val="16"/>
        </w:rPr>
        <w:t xml:space="preserve">on against, or recover from an equine </w:t>
      </w:r>
      <w:r w:rsidR="009E052D" w:rsidRPr="009E052D">
        <w:rPr>
          <w:sz w:val="16"/>
          <w:szCs w:val="16"/>
        </w:rPr>
        <w:t>ac</w:t>
      </w:r>
      <w:r w:rsidR="009E052D" w:rsidRPr="009E052D">
        <w:rPr>
          <w:rFonts w:ascii="Calibri" w:hAnsi="Calibri" w:cs="Calibri"/>
          <w:sz w:val="16"/>
          <w:szCs w:val="16"/>
        </w:rPr>
        <w:t>t</w:t>
      </w:r>
      <w:r w:rsidR="009E052D" w:rsidRPr="009E052D">
        <w:rPr>
          <w:sz w:val="16"/>
          <w:szCs w:val="16"/>
        </w:rPr>
        <w:t>ivity</w:t>
      </w:r>
      <w:r w:rsidRPr="009E052D">
        <w:rPr>
          <w:sz w:val="16"/>
          <w:szCs w:val="16"/>
        </w:rPr>
        <w:t xml:space="preserve"> sponsor, an equine professional, or any other person for injury, loss, damage, or death of the par</w:t>
      </w:r>
      <w:r w:rsidR="009E052D" w:rsidRPr="009E052D">
        <w:rPr>
          <w:rFonts w:ascii="Calibri" w:hAnsi="Calibri" w:cs="Calibri"/>
          <w:sz w:val="16"/>
          <w:szCs w:val="16"/>
        </w:rPr>
        <w:t>ti</w:t>
      </w:r>
      <w:r w:rsidRPr="009E052D">
        <w:rPr>
          <w:sz w:val="16"/>
          <w:szCs w:val="16"/>
        </w:rPr>
        <w:t>cipant resul</w:t>
      </w:r>
      <w:r w:rsidR="009E052D" w:rsidRPr="009E052D">
        <w:rPr>
          <w:rFonts w:ascii="Calibri" w:hAnsi="Calibri" w:cs="Calibri"/>
          <w:sz w:val="16"/>
          <w:szCs w:val="16"/>
        </w:rPr>
        <w:t>ti</w:t>
      </w:r>
      <w:r w:rsidRPr="009E052D">
        <w:rPr>
          <w:sz w:val="16"/>
          <w:szCs w:val="16"/>
        </w:rPr>
        <w:t xml:space="preserve">ng from any of the inherent risks of equine </w:t>
      </w:r>
      <w:r w:rsidR="009E052D" w:rsidRPr="009E052D">
        <w:rPr>
          <w:sz w:val="16"/>
          <w:szCs w:val="16"/>
        </w:rPr>
        <w:t>ac</w:t>
      </w:r>
      <w:r w:rsidR="009E052D" w:rsidRPr="009E052D">
        <w:rPr>
          <w:rFonts w:ascii="Calibri" w:hAnsi="Calibri" w:cs="Calibri"/>
          <w:sz w:val="16"/>
          <w:szCs w:val="16"/>
        </w:rPr>
        <w:t>t</w:t>
      </w:r>
      <w:r w:rsidR="009E052D" w:rsidRPr="009E052D">
        <w:rPr>
          <w:sz w:val="16"/>
          <w:szCs w:val="16"/>
        </w:rPr>
        <w:t>iv</w:t>
      </w:r>
      <w:r w:rsidR="009E052D" w:rsidRPr="009E052D">
        <w:rPr>
          <w:rFonts w:ascii="Calibri" w:hAnsi="Calibri" w:cs="Calibri"/>
          <w:sz w:val="16"/>
          <w:szCs w:val="16"/>
        </w:rPr>
        <w:t>i</w:t>
      </w:r>
      <w:r w:rsidR="009E052D" w:rsidRPr="009E052D">
        <w:rPr>
          <w:sz w:val="16"/>
          <w:szCs w:val="16"/>
        </w:rPr>
        <w:t>ties</w:t>
      </w:r>
    </w:p>
    <w:sectPr w:rsidR="00934113" w:rsidRPr="009E052D" w:rsidSect="009E052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CFE7C" w14:textId="77777777" w:rsidR="009E052D" w:rsidRDefault="009E052D" w:rsidP="009E052D">
      <w:pPr>
        <w:spacing w:after="0" w:line="240" w:lineRule="auto"/>
      </w:pPr>
      <w:r>
        <w:separator/>
      </w:r>
    </w:p>
  </w:endnote>
  <w:endnote w:type="continuationSeparator" w:id="0">
    <w:p w14:paraId="64AE8639" w14:textId="77777777" w:rsidR="009E052D" w:rsidRDefault="009E052D" w:rsidP="009E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A215" w14:textId="77777777" w:rsidR="009E052D" w:rsidRDefault="009E0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8647" w14:textId="77777777" w:rsidR="009E052D" w:rsidRDefault="009E05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2EDF" w14:textId="77777777" w:rsidR="009E052D" w:rsidRDefault="009E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F3810" w14:textId="77777777" w:rsidR="009E052D" w:rsidRDefault="009E052D" w:rsidP="009E052D">
      <w:pPr>
        <w:spacing w:after="0" w:line="240" w:lineRule="auto"/>
      </w:pPr>
      <w:r>
        <w:separator/>
      </w:r>
    </w:p>
  </w:footnote>
  <w:footnote w:type="continuationSeparator" w:id="0">
    <w:p w14:paraId="51200636" w14:textId="77777777" w:rsidR="009E052D" w:rsidRDefault="009E052D" w:rsidP="009E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F72D" w14:textId="77777777" w:rsidR="009E052D" w:rsidRDefault="009E0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6753" w14:textId="77777777" w:rsidR="009E052D" w:rsidRDefault="009E0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84A8" w14:textId="77777777" w:rsidR="009E052D" w:rsidRDefault="009E0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CD"/>
    <w:rsid w:val="001811E2"/>
    <w:rsid w:val="00225932"/>
    <w:rsid w:val="00795F09"/>
    <w:rsid w:val="00934113"/>
    <w:rsid w:val="009E052D"/>
    <w:rsid w:val="00A7347A"/>
    <w:rsid w:val="00D871CD"/>
    <w:rsid w:val="00FA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74B86A"/>
  <w15:chartTrackingRefBased/>
  <w15:docId w15:val="{EF3E1E56-EA1C-40E0-A56C-FAB97C75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1CD"/>
    <w:rPr>
      <w:rFonts w:eastAsiaTheme="majorEastAsia" w:cstheme="majorBidi"/>
      <w:color w:val="272727" w:themeColor="text1" w:themeTint="D8"/>
    </w:rPr>
  </w:style>
  <w:style w:type="paragraph" w:styleId="Title">
    <w:name w:val="Title"/>
    <w:basedOn w:val="Normal"/>
    <w:next w:val="Normal"/>
    <w:link w:val="TitleChar"/>
    <w:uiPriority w:val="10"/>
    <w:qFormat/>
    <w:rsid w:val="00D8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1CD"/>
    <w:pPr>
      <w:spacing w:before="160"/>
      <w:jc w:val="center"/>
    </w:pPr>
    <w:rPr>
      <w:i/>
      <w:iCs/>
      <w:color w:val="404040" w:themeColor="text1" w:themeTint="BF"/>
    </w:rPr>
  </w:style>
  <w:style w:type="character" w:customStyle="1" w:styleId="QuoteChar">
    <w:name w:val="Quote Char"/>
    <w:basedOn w:val="DefaultParagraphFont"/>
    <w:link w:val="Quote"/>
    <w:uiPriority w:val="29"/>
    <w:rsid w:val="00D871CD"/>
    <w:rPr>
      <w:i/>
      <w:iCs/>
      <w:color w:val="404040" w:themeColor="text1" w:themeTint="BF"/>
    </w:rPr>
  </w:style>
  <w:style w:type="paragraph" w:styleId="ListParagraph">
    <w:name w:val="List Paragraph"/>
    <w:basedOn w:val="Normal"/>
    <w:uiPriority w:val="34"/>
    <w:qFormat/>
    <w:rsid w:val="00D871CD"/>
    <w:pPr>
      <w:ind w:left="720"/>
      <w:contextualSpacing/>
    </w:pPr>
  </w:style>
  <w:style w:type="character" w:styleId="IntenseEmphasis">
    <w:name w:val="Intense Emphasis"/>
    <w:basedOn w:val="DefaultParagraphFont"/>
    <w:uiPriority w:val="21"/>
    <w:qFormat/>
    <w:rsid w:val="00D871CD"/>
    <w:rPr>
      <w:i/>
      <w:iCs/>
      <w:color w:val="0F4761" w:themeColor="accent1" w:themeShade="BF"/>
    </w:rPr>
  </w:style>
  <w:style w:type="paragraph" w:styleId="IntenseQuote">
    <w:name w:val="Intense Quote"/>
    <w:basedOn w:val="Normal"/>
    <w:next w:val="Normal"/>
    <w:link w:val="IntenseQuoteChar"/>
    <w:uiPriority w:val="30"/>
    <w:qFormat/>
    <w:rsid w:val="00D87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1CD"/>
    <w:rPr>
      <w:i/>
      <w:iCs/>
      <w:color w:val="0F4761" w:themeColor="accent1" w:themeShade="BF"/>
    </w:rPr>
  </w:style>
  <w:style w:type="character" w:styleId="IntenseReference">
    <w:name w:val="Intense Reference"/>
    <w:basedOn w:val="DefaultParagraphFont"/>
    <w:uiPriority w:val="32"/>
    <w:qFormat/>
    <w:rsid w:val="00D871CD"/>
    <w:rPr>
      <w:b/>
      <w:bCs/>
      <w:smallCaps/>
      <w:color w:val="0F4761" w:themeColor="accent1" w:themeShade="BF"/>
      <w:spacing w:val="5"/>
    </w:rPr>
  </w:style>
  <w:style w:type="paragraph" w:styleId="Header">
    <w:name w:val="header"/>
    <w:basedOn w:val="Normal"/>
    <w:link w:val="HeaderChar"/>
    <w:uiPriority w:val="99"/>
    <w:unhideWhenUsed/>
    <w:rsid w:val="009E0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52D"/>
  </w:style>
  <w:style w:type="paragraph" w:styleId="Footer">
    <w:name w:val="footer"/>
    <w:basedOn w:val="Normal"/>
    <w:link w:val="FooterChar"/>
    <w:uiPriority w:val="99"/>
    <w:unhideWhenUsed/>
    <w:rsid w:val="009E0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Dempsey</dc:creator>
  <cp:keywords/>
  <dc:description/>
  <cp:lastModifiedBy>Conner Dempsey</cp:lastModifiedBy>
  <cp:revision>1</cp:revision>
  <cp:lastPrinted>2025-03-17T14:58:00Z</cp:lastPrinted>
  <dcterms:created xsi:type="dcterms:W3CDTF">2025-03-17T14:30:00Z</dcterms:created>
  <dcterms:modified xsi:type="dcterms:W3CDTF">2025-03-17T17:02:00Z</dcterms:modified>
</cp:coreProperties>
</file>